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B80" w:rsidRDefault="00A44B80">
      <w:pPr>
        <w:rPr>
          <w:b/>
        </w:rPr>
      </w:pPr>
      <w:r>
        <w:rPr>
          <w:b/>
        </w:rPr>
        <w:t xml:space="preserve">Audit </w:t>
      </w:r>
      <w:r w:rsidR="00EF009E">
        <w:rPr>
          <w:b/>
        </w:rPr>
        <w:t xml:space="preserve">and Governance </w:t>
      </w:r>
      <w:r>
        <w:rPr>
          <w:b/>
        </w:rPr>
        <w:t>Committee</w:t>
      </w:r>
    </w:p>
    <w:p w:rsidR="00A44B80" w:rsidRDefault="00A44B80">
      <w:r>
        <w:t xml:space="preserve">Meeting to be held on </w:t>
      </w:r>
      <w:r w:rsidR="005F5A79">
        <w:t>26 January 2015</w:t>
      </w:r>
    </w:p>
    <w:p w:rsidR="00A44B80" w:rsidRDefault="00A44B80">
      <w:pPr>
        <w:pStyle w:val="arial11"/>
      </w:pPr>
    </w:p>
    <w:p w:rsidR="00A44B80" w:rsidRDefault="00A44B80"/>
    <w:tbl>
      <w:tblPr>
        <w:tblW w:w="0" w:type="auto"/>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rsidR="00A44B80">
        <w:tc>
          <w:tcPr>
            <w:tcW w:w="3260" w:type="dxa"/>
          </w:tcPr>
          <w:p w:rsidR="00A44B80" w:rsidRDefault="00A44B80">
            <w:pPr>
              <w:pStyle w:val="BodyText"/>
            </w:pPr>
            <w:r>
              <w:t>Electoral Division affected:</w:t>
            </w:r>
          </w:p>
          <w:p w:rsidR="00A44B80" w:rsidRDefault="00A44B80">
            <w:pPr>
              <w:rPr>
                <w:u w:val="single"/>
              </w:rPr>
            </w:pPr>
            <w:r>
              <w:t>All</w:t>
            </w:r>
          </w:p>
        </w:tc>
      </w:tr>
    </w:tbl>
    <w:p w:rsidR="00A44B80" w:rsidRDefault="00A44B80">
      <w:pPr>
        <w:rPr>
          <w:u w:val="single"/>
        </w:rPr>
      </w:pPr>
    </w:p>
    <w:p w:rsidR="00A44B80" w:rsidRDefault="00EF2901">
      <w:pPr>
        <w:rPr>
          <w:b/>
        </w:rPr>
      </w:pPr>
      <w:r>
        <w:rPr>
          <w:b/>
        </w:rPr>
        <w:t>CIPFA C</w:t>
      </w:r>
      <w:r w:rsidR="00B75AA3">
        <w:rPr>
          <w:b/>
        </w:rPr>
        <w:t>ode of Practice – Managing the Risk of Fraud and C</w:t>
      </w:r>
      <w:bookmarkStart w:id="0" w:name="_GoBack"/>
      <w:bookmarkEnd w:id="0"/>
      <w:r>
        <w:rPr>
          <w:b/>
        </w:rPr>
        <w:t>orruption</w:t>
      </w:r>
    </w:p>
    <w:p w:rsidR="00A44B80" w:rsidRPr="00387071" w:rsidRDefault="00A44B80">
      <w:pPr>
        <w:ind w:left="709" w:hanging="709"/>
      </w:pPr>
      <w:r w:rsidRPr="00387071">
        <w:t>(</w:t>
      </w:r>
      <w:r w:rsidR="00EF2901" w:rsidRPr="00387071">
        <w:t>Appendi</w:t>
      </w:r>
      <w:r w:rsidR="00937FE7">
        <w:t>x</w:t>
      </w:r>
      <w:r w:rsidR="004748E5">
        <w:t xml:space="preserve"> </w:t>
      </w:r>
      <w:r w:rsidRPr="00387071">
        <w:t>A</w:t>
      </w:r>
      <w:r w:rsidR="00387071">
        <w:t xml:space="preserve"> </w:t>
      </w:r>
      <w:r w:rsidRPr="00387071">
        <w:t>refer</w:t>
      </w:r>
      <w:r w:rsidR="00937FE7">
        <w:t>s</w:t>
      </w:r>
      <w:r w:rsidR="00D0410A">
        <w:t>.</w:t>
      </w:r>
      <w:r w:rsidRPr="00387071">
        <w:t>)</w:t>
      </w:r>
    </w:p>
    <w:p w:rsidR="00A44B80" w:rsidRDefault="00A44B80">
      <w:pPr>
        <w:ind w:left="709" w:hanging="709"/>
        <w:rPr>
          <w:b/>
        </w:rPr>
      </w:pPr>
    </w:p>
    <w:p w:rsidR="00A44B80" w:rsidRDefault="00A44B80">
      <w:r>
        <w:t>Contact for further information:</w:t>
      </w:r>
    </w:p>
    <w:p w:rsidR="00A44B80" w:rsidRDefault="00EF2901">
      <w:r>
        <w:t>Ian Rushworth, (01772) 534779</w:t>
      </w:r>
    </w:p>
    <w:p w:rsidR="00A44B80" w:rsidRDefault="00A44B8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44B80">
        <w:tc>
          <w:tcPr>
            <w:tcW w:w="9180" w:type="dxa"/>
          </w:tcPr>
          <w:p w:rsidR="00A44B80" w:rsidRDefault="00A44B80">
            <w:pPr>
              <w:pStyle w:val="Heading6"/>
              <w:keepNext w:val="0"/>
              <w:spacing w:before="120" w:after="60"/>
              <w:rPr>
                <w:rFonts w:ascii="Arial" w:hAnsi="Arial"/>
              </w:rPr>
            </w:pPr>
            <w:r>
              <w:rPr>
                <w:rFonts w:ascii="Arial" w:hAnsi="Arial"/>
              </w:rPr>
              <w:t>Executive Summary</w:t>
            </w:r>
          </w:p>
          <w:p w:rsidR="00EF2901" w:rsidRPr="00EF2901" w:rsidRDefault="00EF2901" w:rsidP="00EF2901">
            <w:pPr>
              <w:pStyle w:val="Default"/>
              <w:rPr>
                <w:rFonts w:ascii="Arial" w:hAnsi="Arial" w:cs="Arial"/>
              </w:rPr>
            </w:pPr>
            <w:r w:rsidRPr="00EF2901">
              <w:rPr>
                <w:rFonts w:ascii="Arial" w:hAnsi="Arial" w:cs="Arial"/>
              </w:rPr>
              <w:t>The council has a responsibility to ensure it has effective counter fraud arrangements in place. To support organisations CIPFA have recently issued a voluntary code of practice entitled</w:t>
            </w:r>
            <w:r w:rsidR="00937FE7">
              <w:rPr>
                <w:rFonts w:ascii="Arial" w:hAnsi="Arial" w:cs="Arial"/>
              </w:rPr>
              <w:t xml:space="preserve"> Managing the risk of fraud and corruption.</w:t>
            </w:r>
            <w:r w:rsidRPr="00EF2901">
              <w:rPr>
                <w:rFonts w:ascii="Arial" w:hAnsi="Arial" w:cs="Arial"/>
              </w:rPr>
              <w:t xml:space="preserve"> </w:t>
            </w:r>
          </w:p>
          <w:p w:rsidR="00A44B80" w:rsidRDefault="00A44B80">
            <w:pPr>
              <w:pStyle w:val="Heading5"/>
              <w:keepNext w:val="0"/>
              <w:spacing w:before="120" w:after="60"/>
              <w:rPr>
                <w:rFonts w:ascii="Arial" w:hAnsi="Arial"/>
                <w:u w:val="none"/>
              </w:rPr>
            </w:pPr>
            <w:r>
              <w:rPr>
                <w:rFonts w:ascii="Arial" w:hAnsi="Arial"/>
                <w:u w:val="none"/>
              </w:rPr>
              <w:t>Recommendation</w:t>
            </w:r>
          </w:p>
          <w:p w:rsidR="00A44B80" w:rsidRDefault="00A44B80" w:rsidP="00EF2901">
            <w:pPr>
              <w:spacing w:before="120" w:after="120"/>
            </w:pPr>
            <w:r>
              <w:t xml:space="preserve">The </w:t>
            </w:r>
            <w:r w:rsidR="00387071">
              <w:t xml:space="preserve">Audit </w:t>
            </w:r>
            <w:r w:rsidR="00EF009E">
              <w:t xml:space="preserve">and Governance </w:t>
            </w:r>
            <w:r>
              <w:t>Committee is asked to consider</w:t>
            </w:r>
            <w:r w:rsidR="00EF2901">
              <w:t xml:space="preserve"> the report</w:t>
            </w:r>
            <w:r w:rsidR="00937FE7">
              <w:t xml:space="preserve"> and recommendations</w:t>
            </w:r>
            <w:r w:rsidR="00EF2901">
              <w:t xml:space="preserve"> on counter fraud arrangements</w:t>
            </w:r>
            <w:r w:rsidR="00281507">
              <w:t xml:space="preserve"> as set out in the report</w:t>
            </w:r>
          </w:p>
        </w:tc>
      </w:tr>
    </w:tbl>
    <w:p w:rsidR="00A44B80" w:rsidRDefault="00A44B80">
      <w:pPr>
        <w:rPr>
          <w:b/>
        </w:rPr>
      </w:pPr>
    </w:p>
    <w:p w:rsidR="00A44B80" w:rsidRDefault="00A44B80">
      <w:pPr>
        <w:rPr>
          <w:b/>
        </w:rPr>
      </w:pPr>
      <w:r>
        <w:rPr>
          <w:b/>
        </w:rPr>
        <w:t>Background</w:t>
      </w:r>
      <w:r w:rsidR="00445043">
        <w:rPr>
          <w:b/>
        </w:rPr>
        <w:t xml:space="preserve"> and advice</w:t>
      </w:r>
    </w:p>
    <w:p w:rsidR="00A44B80" w:rsidRDefault="00A44B80"/>
    <w:p w:rsidR="00937FE7" w:rsidRDefault="00937FE7" w:rsidP="00937FE7">
      <w:pPr>
        <w:pStyle w:val="Default"/>
        <w:rPr>
          <w:rFonts w:ascii="Arial" w:hAnsi="Arial" w:cs="Arial"/>
          <w:sz w:val="22"/>
          <w:szCs w:val="22"/>
        </w:rPr>
      </w:pPr>
    </w:p>
    <w:p w:rsidR="00937FE7" w:rsidRPr="00937FE7" w:rsidRDefault="00937FE7" w:rsidP="00937FE7">
      <w:pPr>
        <w:pStyle w:val="Default"/>
        <w:rPr>
          <w:rFonts w:ascii="Arial" w:hAnsi="Arial" w:cs="Arial"/>
        </w:rPr>
      </w:pPr>
      <w:r w:rsidRPr="00937FE7">
        <w:rPr>
          <w:rFonts w:ascii="Arial" w:hAnsi="Arial" w:cs="Arial"/>
        </w:rPr>
        <w:t xml:space="preserve">The council has a responsibility to ensure it has effective counter fraud arrangements in place. To support organisations CIPFA have recently issued a voluntary code of practice entitled </w:t>
      </w:r>
      <w:hyperlink r:id="rId7" w:history="1">
        <w:r w:rsidRPr="00937FE7">
          <w:rPr>
            <w:rStyle w:val="Hyperlink"/>
            <w:rFonts w:ascii="Arial" w:hAnsi="Arial" w:cs="Arial"/>
          </w:rPr>
          <w:t>Managing the risk of fraud and corruption</w:t>
        </w:r>
      </w:hyperlink>
      <w:r w:rsidRPr="00937FE7">
        <w:rPr>
          <w:rFonts w:ascii="Arial" w:hAnsi="Arial" w:cs="Arial"/>
        </w:rPr>
        <w:t>.</w:t>
      </w:r>
    </w:p>
    <w:p w:rsidR="00937FE7" w:rsidRPr="00937FE7" w:rsidRDefault="00937FE7" w:rsidP="00937FE7">
      <w:pPr>
        <w:pStyle w:val="Default"/>
        <w:rPr>
          <w:rFonts w:ascii="Arial" w:hAnsi="Arial" w:cs="Arial"/>
        </w:rPr>
      </w:pPr>
    </w:p>
    <w:p w:rsidR="00937FE7" w:rsidRPr="00937FE7" w:rsidRDefault="00937FE7" w:rsidP="00937FE7">
      <w:pPr>
        <w:pStyle w:val="Default"/>
        <w:rPr>
          <w:rFonts w:ascii="Arial" w:hAnsi="Arial" w:cs="Arial"/>
        </w:rPr>
      </w:pPr>
      <w:r w:rsidRPr="00937FE7">
        <w:rPr>
          <w:rFonts w:ascii="Arial" w:hAnsi="Arial" w:cs="Arial"/>
        </w:rPr>
        <w:t xml:space="preserve"> The code consists of the following five key principles of counter fraud good practice:</w:t>
      </w:r>
    </w:p>
    <w:p w:rsidR="00937FE7" w:rsidRDefault="00937FE7" w:rsidP="00937FE7">
      <w:pPr>
        <w:pStyle w:val="Default"/>
        <w:rPr>
          <w:rFonts w:ascii="Arial" w:hAnsi="Arial" w:cs="Arial"/>
          <w:sz w:val="22"/>
          <w:szCs w:val="22"/>
        </w:rPr>
      </w:pPr>
      <w:r>
        <w:rPr>
          <w:rFonts w:ascii="Arial" w:hAnsi="Arial" w:cs="Arial"/>
          <w:sz w:val="22"/>
          <w:szCs w:val="22"/>
        </w:rPr>
        <w:t xml:space="preserve"> </w:t>
      </w:r>
    </w:p>
    <w:p w:rsidR="00937FE7" w:rsidRDefault="00937FE7" w:rsidP="00937FE7">
      <w:pPr>
        <w:numPr>
          <w:ilvl w:val="0"/>
          <w:numId w:val="12"/>
        </w:numPr>
        <w:spacing w:after="200"/>
        <w:rPr>
          <w:rFonts w:cs="Arial"/>
          <w:color w:val="000000"/>
          <w:sz w:val="22"/>
          <w:szCs w:val="22"/>
        </w:rPr>
      </w:pPr>
      <w:r>
        <w:rPr>
          <w:rFonts w:cs="Arial"/>
          <w:color w:val="000000"/>
        </w:rPr>
        <w:t>acknowledge the responsibility of the governing body for countering fraud and corruption;</w:t>
      </w:r>
    </w:p>
    <w:p w:rsidR="00937FE7" w:rsidRDefault="00937FE7" w:rsidP="00937FE7">
      <w:pPr>
        <w:numPr>
          <w:ilvl w:val="0"/>
          <w:numId w:val="12"/>
        </w:numPr>
        <w:spacing w:after="200"/>
        <w:rPr>
          <w:rFonts w:cs="Arial"/>
          <w:color w:val="000000"/>
        </w:rPr>
      </w:pPr>
      <w:r>
        <w:rPr>
          <w:rFonts w:cs="Arial"/>
          <w:color w:val="000000"/>
        </w:rPr>
        <w:t>identify the fraud and corruption risks;</w:t>
      </w:r>
    </w:p>
    <w:p w:rsidR="00937FE7" w:rsidRDefault="00937FE7" w:rsidP="00937FE7">
      <w:pPr>
        <w:numPr>
          <w:ilvl w:val="0"/>
          <w:numId w:val="12"/>
        </w:numPr>
        <w:spacing w:after="200"/>
        <w:rPr>
          <w:rFonts w:cs="Arial"/>
          <w:color w:val="000000"/>
        </w:rPr>
      </w:pPr>
      <w:r>
        <w:rPr>
          <w:rFonts w:cs="Arial"/>
          <w:color w:val="000000"/>
        </w:rPr>
        <w:t>develop an appropriate counter fraud and corruption strategy;</w:t>
      </w:r>
    </w:p>
    <w:p w:rsidR="00937FE7" w:rsidRDefault="00937FE7" w:rsidP="00937FE7">
      <w:pPr>
        <w:numPr>
          <w:ilvl w:val="0"/>
          <w:numId w:val="12"/>
        </w:numPr>
        <w:spacing w:after="200"/>
        <w:rPr>
          <w:rFonts w:cs="Arial"/>
          <w:color w:val="000000"/>
        </w:rPr>
      </w:pPr>
      <w:r>
        <w:rPr>
          <w:rFonts w:cs="Arial"/>
          <w:color w:val="000000"/>
        </w:rPr>
        <w:t xml:space="preserve">provide resources to implement the strategy; and </w:t>
      </w:r>
    </w:p>
    <w:p w:rsidR="00937FE7" w:rsidRDefault="00937FE7" w:rsidP="00937FE7">
      <w:pPr>
        <w:numPr>
          <w:ilvl w:val="0"/>
          <w:numId w:val="12"/>
        </w:numPr>
        <w:spacing w:after="200"/>
        <w:rPr>
          <w:rFonts w:cs="Arial"/>
          <w:color w:val="000000"/>
        </w:rPr>
      </w:pPr>
      <w:r>
        <w:rPr>
          <w:rFonts w:cs="Arial"/>
          <w:color w:val="000000"/>
        </w:rPr>
        <w:t>take action in response to fraud and corruption.</w:t>
      </w:r>
    </w:p>
    <w:p w:rsidR="00937FE7" w:rsidRDefault="00937FE7" w:rsidP="00937FE7">
      <w:pPr>
        <w:spacing w:after="200"/>
        <w:rPr>
          <w:rFonts w:cs="Arial"/>
          <w:color w:val="000000"/>
        </w:rPr>
      </w:pPr>
      <w:r>
        <w:rPr>
          <w:rFonts w:cs="Arial"/>
          <w:color w:val="000000"/>
        </w:rPr>
        <w:t xml:space="preserve">The code builds on existing CIPFA guidance, Managing the Risk of Fraud, commonly referred to as the Red Book and other counter fraud best practice advice such as the Protecting the Public Purse reports issued by the Audit Commission. </w:t>
      </w:r>
    </w:p>
    <w:p w:rsidR="00937FE7" w:rsidRDefault="00937FE7" w:rsidP="00937FE7">
      <w:pPr>
        <w:spacing w:after="200"/>
        <w:rPr>
          <w:rFonts w:cs="Arial"/>
          <w:color w:val="000000"/>
        </w:rPr>
      </w:pPr>
      <w:r>
        <w:rPr>
          <w:rFonts w:cs="Arial"/>
          <w:color w:val="000000"/>
        </w:rPr>
        <w:t xml:space="preserve">For each of the five principles the new code includes details of the specific elements that organisations should have in place. The internal audit service is responsible for co-ordinating the council's counter fraud work and we have assessed the council's current </w:t>
      </w:r>
      <w:r>
        <w:rPr>
          <w:rFonts w:cs="Arial"/>
          <w:color w:val="000000"/>
        </w:rPr>
        <w:lastRenderedPageBreak/>
        <w:t>arrangements against each of these elements. The council already has adequate and effective counter fraud arrangements in place and as such is compliant with the vast majority of the code. We have identified three areas where our arrangements could be strengthened which are detailed below.</w:t>
      </w:r>
    </w:p>
    <w:p w:rsidR="00937FE7" w:rsidRDefault="00937FE7" w:rsidP="00937FE7">
      <w:pPr>
        <w:spacing w:after="200"/>
        <w:rPr>
          <w:rFonts w:cs="Arial"/>
          <w:color w:val="000000"/>
        </w:rPr>
      </w:pPr>
      <w:r>
        <w:rPr>
          <w:rFonts w:cs="Arial"/>
          <w:color w:val="000000"/>
        </w:rPr>
        <w:t>Details of our assessment can be found at Appendix A.</w:t>
      </w:r>
    </w:p>
    <w:p w:rsidR="00937FE7" w:rsidRDefault="00937FE7" w:rsidP="00937FE7">
      <w:pPr>
        <w:spacing w:after="200"/>
        <w:rPr>
          <w:rFonts w:cs="Arial"/>
          <w:b/>
          <w:color w:val="000000"/>
        </w:rPr>
      </w:pPr>
      <w:r>
        <w:rPr>
          <w:rFonts w:cs="Arial"/>
          <w:b/>
          <w:color w:val="000000"/>
        </w:rPr>
        <w:t>Recommendations</w:t>
      </w:r>
      <w:r w:rsidR="00281507">
        <w:rPr>
          <w:rFonts w:cs="Arial"/>
          <w:b/>
          <w:color w:val="000000"/>
        </w:rPr>
        <w:t xml:space="preserve"> for Consideration</w:t>
      </w:r>
    </w:p>
    <w:p w:rsidR="00937FE7" w:rsidRDefault="00937FE7" w:rsidP="00937FE7">
      <w:pPr>
        <w:spacing w:after="200"/>
        <w:rPr>
          <w:rFonts w:cs="Arial"/>
          <w:color w:val="000000"/>
        </w:rPr>
      </w:pPr>
      <w:r>
        <w:rPr>
          <w:rFonts w:cs="Arial"/>
          <w:color w:val="000000"/>
        </w:rPr>
        <w:t>1. The code recommends that a statement is included in the annual governance report stating that the organisation has adopted a response appropriate to the fraud and corruption risks it faces. The council's annual governance report for 2013/14 referred to the council's whistleblowing and counter fraud arrangements, however, consideration will be given to expanding this and including a reference to the CIPFA Code of Practice in future annual governance reports.</w:t>
      </w:r>
    </w:p>
    <w:p w:rsidR="00937FE7" w:rsidRDefault="00937FE7" w:rsidP="00937FE7">
      <w:pPr>
        <w:spacing w:after="200"/>
        <w:rPr>
          <w:rFonts w:cs="Arial"/>
        </w:rPr>
      </w:pPr>
      <w:r>
        <w:rPr>
          <w:rFonts w:cs="Arial"/>
          <w:color w:val="000000"/>
        </w:rPr>
        <w:t>2.</w:t>
      </w:r>
      <w:r>
        <w:rPr>
          <w:rFonts w:cs="Arial"/>
        </w:rPr>
        <w:t xml:space="preserve"> The council has an anti-fraud policy and strategy which was developed several years ago. Whilst these documents are relevant they need to be refreshed to reflect current arrangements. These will be reviewed by the end of March 2015.</w:t>
      </w:r>
    </w:p>
    <w:p w:rsidR="00937FE7" w:rsidRDefault="00937FE7" w:rsidP="00937FE7">
      <w:pPr>
        <w:spacing w:after="200"/>
        <w:rPr>
          <w:rFonts w:cs="Arial"/>
          <w:color w:val="000000"/>
        </w:rPr>
      </w:pPr>
      <w:r>
        <w:rPr>
          <w:rFonts w:cs="Arial"/>
          <w:color w:val="000000"/>
        </w:rPr>
        <w:t>3. To increase fraud awareness across the council it is proposed that staff in key roles complete a fraud awareness e-Learning course.</w:t>
      </w:r>
      <w:r>
        <w:rPr>
          <w:rFonts w:cs="Arial"/>
        </w:rPr>
        <w:t xml:space="preserve"> A course has been developed by the National Fraud Authority and Deloitte and made available free of charge to local authorities. It is intended that this will be rolled out in April 2015 and made mandatory to the following groups of staff:</w:t>
      </w:r>
    </w:p>
    <w:p w:rsidR="00937FE7" w:rsidRDefault="00937FE7" w:rsidP="00937FE7">
      <w:pPr>
        <w:spacing w:after="200"/>
        <w:rPr>
          <w:rFonts w:cs="Arial"/>
        </w:rPr>
      </w:pPr>
      <w:r>
        <w:rPr>
          <w:rFonts w:cs="Arial"/>
        </w:rPr>
        <w:t xml:space="preserve"> - </w:t>
      </w:r>
      <w:proofErr w:type="gramStart"/>
      <w:r>
        <w:rPr>
          <w:rFonts w:cs="Arial"/>
        </w:rPr>
        <w:t>budget</w:t>
      </w:r>
      <w:proofErr w:type="gramEnd"/>
      <w:r>
        <w:rPr>
          <w:rFonts w:cs="Arial"/>
        </w:rPr>
        <w:t xml:space="preserve"> holders</w:t>
      </w:r>
      <w:r w:rsidR="00EC6BAF">
        <w:rPr>
          <w:rFonts w:cs="Arial"/>
        </w:rPr>
        <w:t>;</w:t>
      </w:r>
    </w:p>
    <w:p w:rsidR="00937FE7" w:rsidRDefault="00937FE7" w:rsidP="00937FE7">
      <w:pPr>
        <w:spacing w:after="200"/>
        <w:rPr>
          <w:rFonts w:cs="Arial"/>
        </w:rPr>
      </w:pPr>
      <w:r>
        <w:rPr>
          <w:rFonts w:cs="Arial"/>
        </w:rPr>
        <w:t xml:space="preserve"> - </w:t>
      </w:r>
      <w:proofErr w:type="gramStart"/>
      <w:r>
        <w:rPr>
          <w:rFonts w:cs="Arial"/>
        </w:rPr>
        <w:t>staff</w:t>
      </w:r>
      <w:proofErr w:type="gramEnd"/>
      <w:r>
        <w:rPr>
          <w:rFonts w:cs="Arial"/>
        </w:rPr>
        <w:t xml:space="preserve"> within</w:t>
      </w:r>
      <w:r w:rsidR="00EC6BAF">
        <w:rPr>
          <w:rFonts w:cs="Arial"/>
        </w:rPr>
        <w:t xml:space="preserve"> county treasurers directorate; and</w:t>
      </w:r>
    </w:p>
    <w:p w:rsidR="00937FE7" w:rsidRDefault="00937FE7" w:rsidP="00937FE7">
      <w:pPr>
        <w:spacing w:after="200"/>
        <w:rPr>
          <w:rFonts w:cs="Arial"/>
        </w:rPr>
      </w:pPr>
      <w:r>
        <w:rPr>
          <w:rFonts w:cs="Arial"/>
        </w:rPr>
        <w:t xml:space="preserve"> - </w:t>
      </w:r>
      <w:proofErr w:type="gramStart"/>
      <w:r>
        <w:rPr>
          <w:rFonts w:cs="Arial"/>
        </w:rPr>
        <w:t>staff</w:t>
      </w:r>
      <w:proofErr w:type="gramEnd"/>
      <w:r>
        <w:rPr>
          <w:rFonts w:cs="Arial"/>
        </w:rPr>
        <w:t xml:space="preserve"> within procurement, legal services, Your Pensions Service and payroll.</w:t>
      </w:r>
    </w:p>
    <w:p w:rsidR="00577437" w:rsidRDefault="00577437"/>
    <w:p w:rsidR="00A44B80" w:rsidRDefault="00A44B80">
      <w:pPr>
        <w:pStyle w:val="Heading1"/>
        <w:spacing w:before="120" w:after="120"/>
      </w:pPr>
      <w:r>
        <w:t>Consultations</w:t>
      </w:r>
    </w:p>
    <w:p w:rsidR="00A44B80" w:rsidRDefault="00A44B80">
      <w:pPr>
        <w:spacing w:after="120"/>
      </w:pPr>
      <w:r>
        <w:t>Not applicable.</w:t>
      </w:r>
    </w:p>
    <w:p w:rsidR="00281507" w:rsidRDefault="00281507">
      <w:pPr>
        <w:spacing w:after="120"/>
      </w:pPr>
    </w:p>
    <w:p w:rsidR="00A44B80" w:rsidRDefault="00445043">
      <w:pPr>
        <w:spacing w:before="120" w:after="120"/>
        <w:rPr>
          <w:b/>
        </w:rPr>
      </w:pPr>
      <w:r>
        <w:rPr>
          <w:b/>
        </w:rPr>
        <w:t>Implications</w:t>
      </w:r>
    </w:p>
    <w:p w:rsidR="00A44B80" w:rsidRDefault="00A44B80">
      <w:pPr>
        <w:spacing w:after="120"/>
      </w:pPr>
      <w:r>
        <w:t>Not applicable.</w:t>
      </w:r>
    </w:p>
    <w:p w:rsidR="00281507" w:rsidRDefault="00281507">
      <w:pPr>
        <w:spacing w:after="120"/>
      </w:pPr>
    </w:p>
    <w:p w:rsidR="00347DC7" w:rsidRDefault="00347DC7">
      <w:pPr>
        <w:pStyle w:val="Heading5"/>
        <w:spacing w:before="120" w:after="120"/>
        <w:rPr>
          <w:rFonts w:ascii="Arial" w:hAnsi="Arial"/>
          <w:u w:val="none"/>
        </w:rPr>
      </w:pPr>
      <w:r>
        <w:rPr>
          <w:rFonts w:ascii="Arial" w:hAnsi="Arial"/>
          <w:u w:val="none"/>
        </w:rPr>
        <w:t>Risk management</w:t>
      </w:r>
    </w:p>
    <w:p w:rsidR="00347DC7" w:rsidRDefault="00EF009E" w:rsidP="00EF009E">
      <w:pPr>
        <w:autoSpaceDE w:val="0"/>
        <w:autoSpaceDN w:val="0"/>
        <w:adjustRightInd w:val="0"/>
      </w:pPr>
      <w:r w:rsidRPr="00347DC7">
        <w:t xml:space="preserve">This report supports the </w:t>
      </w:r>
      <w:r>
        <w:rPr>
          <w:rFonts w:ascii="TT6E85o00" w:hAnsi="TT6E85o00" w:cs="TT6E85o00"/>
          <w:szCs w:val="24"/>
        </w:rPr>
        <w:t xml:space="preserve">Audit and Governance Committee </w:t>
      </w:r>
      <w:r w:rsidRPr="00347DC7">
        <w:t xml:space="preserve">in undertaking its role, which includes </w:t>
      </w:r>
      <w:r>
        <w:rPr>
          <w:rFonts w:ascii="TT6E85o00" w:hAnsi="TT6E85o00" w:cs="TT6E85o00"/>
          <w:szCs w:val="24"/>
        </w:rPr>
        <w:t>providing independent oversight of the adequacy of the council's governance, risk management and internal control framework</w:t>
      </w:r>
      <w:r w:rsidR="00347DC7">
        <w:t>.</w:t>
      </w:r>
    </w:p>
    <w:p w:rsidR="00347DC7" w:rsidRPr="00347DC7" w:rsidRDefault="00347DC7" w:rsidP="00347DC7">
      <w:pPr>
        <w:spacing w:after="120"/>
      </w:pPr>
    </w:p>
    <w:p w:rsidR="00A44B80" w:rsidRDefault="00A44B80">
      <w:pPr>
        <w:pStyle w:val="Heading5"/>
        <w:spacing w:before="120" w:after="120"/>
        <w:rPr>
          <w:rFonts w:ascii="Arial" w:hAnsi="Arial"/>
          <w:u w:val="none"/>
        </w:rPr>
      </w:pPr>
      <w:r>
        <w:rPr>
          <w:rFonts w:ascii="Arial" w:hAnsi="Arial"/>
          <w:u w:val="none"/>
        </w:rPr>
        <w:t>Local Government (Access to Information) Act 1985</w:t>
      </w:r>
    </w:p>
    <w:p w:rsidR="00A44B80" w:rsidRDefault="00A44B80">
      <w:pPr>
        <w:pStyle w:val="Heading5"/>
        <w:spacing w:before="120" w:after="120"/>
        <w:rPr>
          <w:rFonts w:ascii="Arial" w:hAnsi="Arial"/>
          <w:u w:val="none"/>
        </w:rPr>
      </w:pPr>
      <w:r>
        <w:rPr>
          <w:rFonts w:ascii="Arial" w:hAnsi="Arial"/>
          <w:u w:val="none"/>
        </w:rPr>
        <w:t>List of Background Papers</w:t>
      </w:r>
    </w:p>
    <w:tbl>
      <w:tblPr>
        <w:tblW w:w="0" w:type="auto"/>
        <w:tblLayout w:type="fixed"/>
        <w:tblLook w:val="0000" w:firstRow="0" w:lastRow="0" w:firstColumn="0" w:lastColumn="0" w:noHBand="0" w:noVBand="0"/>
      </w:tblPr>
      <w:tblGrid>
        <w:gridCol w:w="5211"/>
        <w:gridCol w:w="1276"/>
        <w:gridCol w:w="2693"/>
      </w:tblGrid>
      <w:tr w:rsidR="00A44B80">
        <w:tc>
          <w:tcPr>
            <w:tcW w:w="5211" w:type="dxa"/>
          </w:tcPr>
          <w:p w:rsidR="00A44B80" w:rsidRDefault="00A44B80">
            <w:pPr>
              <w:pStyle w:val="Heading7"/>
              <w:rPr>
                <w:rFonts w:ascii="Arial" w:hAnsi="Arial"/>
                <w:u w:val="none"/>
              </w:rPr>
            </w:pPr>
            <w:r>
              <w:rPr>
                <w:u w:val="none"/>
              </w:rPr>
              <w:t>Paper</w:t>
            </w:r>
          </w:p>
        </w:tc>
        <w:tc>
          <w:tcPr>
            <w:tcW w:w="1276" w:type="dxa"/>
          </w:tcPr>
          <w:p w:rsidR="00A44B80" w:rsidRDefault="00A44B80">
            <w:pPr>
              <w:pStyle w:val="Heading7"/>
              <w:rPr>
                <w:rFonts w:ascii="Arial" w:hAnsi="Arial"/>
                <w:u w:val="none"/>
              </w:rPr>
            </w:pPr>
            <w:r>
              <w:rPr>
                <w:rFonts w:ascii="Arial" w:hAnsi="Arial"/>
                <w:u w:val="none"/>
              </w:rPr>
              <w:t>Date</w:t>
            </w:r>
          </w:p>
        </w:tc>
        <w:tc>
          <w:tcPr>
            <w:tcW w:w="2693" w:type="dxa"/>
          </w:tcPr>
          <w:p w:rsidR="00A44B80" w:rsidRDefault="00A44B80">
            <w:pPr>
              <w:pStyle w:val="Heading7"/>
              <w:rPr>
                <w:rFonts w:ascii="Arial" w:hAnsi="Arial"/>
                <w:u w:val="none"/>
              </w:rPr>
            </w:pPr>
            <w:r>
              <w:rPr>
                <w:rFonts w:ascii="Arial" w:hAnsi="Arial"/>
                <w:u w:val="none"/>
              </w:rPr>
              <w:t>Contact</w:t>
            </w:r>
          </w:p>
        </w:tc>
      </w:tr>
      <w:tr w:rsidR="00A44B80">
        <w:tc>
          <w:tcPr>
            <w:tcW w:w="5211" w:type="dxa"/>
          </w:tcPr>
          <w:p w:rsidR="00A44B80" w:rsidRPr="007C36CF" w:rsidRDefault="00A44B80">
            <w:r>
              <w:t>Not applicable</w:t>
            </w:r>
            <w:r w:rsidR="00A66782">
              <w:t>.</w:t>
            </w:r>
          </w:p>
        </w:tc>
        <w:tc>
          <w:tcPr>
            <w:tcW w:w="1276" w:type="dxa"/>
          </w:tcPr>
          <w:p w:rsidR="00A44B80" w:rsidRDefault="00A44B80"/>
        </w:tc>
        <w:tc>
          <w:tcPr>
            <w:tcW w:w="2693" w:type="dxa"/>
            <w:shd w:val="clear" w:color="auto" w:fill="auto"/>
          </w:tcPr>
          <w:p w:rsidR="00A44B80" w:rsidRDefault="00A44B80"/>
        </w:tc>
      </w:tr>
    </w:tbl>
    <w:p w:rsidR="00A44B80" w:rsidRDefault="00A44B80">
      <w:pPr>
        <w:spacing w:before="240" w:after="120"/>
      </w:pPr>
      <w:r>
        <w:rPr>
          <w:b/>
        </w:rPr>
        <w:t xml:space="preserve">Reason for inclusion in Part II, if appropriate:  </w:t>
      </w:r>
      <w:r>
        <w:t>Not applicable.</w:t>
      </w:r>
    </w:p>
    <w:sectPr w:rsidR="00A44B80" w:rsidSect="001F616A">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426" w:left="1134" w:header="720" w:footer="690" w:gutter="0"/>
      <w:paperSrc w:first="15" w:other="15"/>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0A0" w:rsidRDefault="009220A0">
      <w:r>
        <w:separator/>
      </w:r>
    </w:p>
  </w:endnote>
  <w:endnote w:type="continuationSeparator" w:id="0">
    <w:p w:rsidR="009220A0" w:rsidRDefault="00922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T6E85o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EF406C">
    <w:pPr>
      <w:pStyle w:val="Footer"/>
      <w:framePr w:wrap="around" w:vAnchor="text" w:hAnchor="margin" w:xAlign="center" w:y="1"/>
      <w:rPr>
        <w:rStyle w:val="PageNumber"/>
      </w:rPr>
    </w:pPr>
    <w:r>
      <w:rPr>
        <w:rStyle w:val="PageNumber"/>
      </w:rPr>
      <w:fldChar w:fldCharType="begin"/>
    </w:r>
    <w:r w:rsidR="009220A0">
      <w:rPr>
        <w:rStyle w:val="PageNumber"/>
      </w:rPr>
      <w:instrText xml:space="preserve">PAGE  </w:instrText>
    </w:r>
    <w:r>
      <w:rPr>
        <w:rStyle w:val="PageNumber"/>
      </w:rPr>
      <w:fldChar w:fldCharType="end"/>
    </w:r>
  </w:p>
  <w:p w:rsidR="009220A0" w:rsidRDefault="009220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9220A0">
    <w:pPr>
      <w:pStyle w:val="Footer"/>
      <w:tabs>
        <w:tab w:val="clear" w:pos="4153"/>
      </w:tabs>
      <w:ind w:right="-45"/>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220A0">
      <w:tc>
        <w:tcPr>
          <w:tcW w:w="9180" w:type="dxa"/>
          <w:tcBorders>
            <w:top w:val="nil"/>
            <w:left w:val="nil"/>
            <w:bottom w:val="nil"/>
            <w:right w:val="nil"/>
          </w:tcBorders>
        </w:tcPr>
        <w:p w:rsidR="009220A0" w:rsidRDefault="009220A0">
          <w:pPr>
            <w:pStyle w:val="Footer"/>
            <w:tabs>
              <w:tab w:val="clear" w:pos="4153"/>
            </w:tabs>
            <w:ind w:right="-45"/>
            <w:jc w:val="right"/>
          </w:pPr>
          <w:r>
            <w:rPr>
              <w:noProof/>
            </w:rPr>
            <w:drawing>
              <wp:inline distT="0" distB="0" distL="0" distR="0">
                <wp:extent cx="1257300" cy="628650"/>
                <wp:effectExtent l="1905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srcRect/>
                        <a:stretch>
                          <a:fillRect/>
                        </a:stretch>
                      </pic:blipFill>
                      <pic:spPr bwMode="auto">
                        <a:xfrm>
                          <a:off x="0" y="0"/>
                          <a:ext cx="1257300" cy="628650"/>
                        </a:xfrm>
                        <a:prstGeom prst="rect">
                          <a:avLst/>
                        </a:prstGeom>
                        <a:noFill/>
                        <a:ln w="9525">
                          <a:noFill/>
                          <a:miter lim="800000"/>
                          <a:headEnd/>
                          <a:tailEnd/>
                        </a:ln>
                      </pic:spPr>
                    </pic:pic>
                  </a:graphicData>
                </a:graphic>
              </wp:inline>
            </w:drawing>
          </w:r>
        </w:p>
      </w:tc>
    </w:tr>
  </w:tbl>
  <w:p w:rsidR="009220A0" w:rsidRDefault="009220A0">
    <w:pPr>
      <w:pStyle w:val="Footer"/>
      <w:tabs>
        <w:tab w:val="clear" w:pos="4153"/>
      </w:tabs>
      <w:ind w:right="-4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0A0" w:rsidRDefault="009220A0">
      <w:r>
        <w:separator/>
      </w:r>
    </w:p>
  </w:footnote>
  <w:footnote w:type="continuationSeparator" w:id="0">
    <w:p w:rsidR="009220A0" w:rsidRDefault="00922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9220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Pr="00091B11" w:rsidRDefault="009220A0">
    <w:pPr>
      <w:pStyle w:val="Header"/>
      <w:jc w:val="center"/>
    </w:pPr>
    <w:r>
      <w:t xml:space="preserve">- </w:t>
    </w:r>
    <w:r w:rsidR="005F5A79">
      <w:fldChar w:fldCharType="begin"/>
    </w:r>
    <w:r w:rsidR="005F5A79">
      <w:instrText xml:space="preserve"> PAGE </w:instrText>
    </w:r>
    <w:r w:rsidR="005F5A79">
      <w:fldChar w:fldCharType="separate"/>
    </w:r>
    <w:r w:rsidR="00B75AA3">
      <w:rPr>
        <w:noProof/>
      </w:rPr>
      <w:t>2</w:t>
    </w:r>
    <w:r w:rsidR="005F5A79">
      <w:rPr>
        <w:noProof/>
      </w:rP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0A0" w:rsidRDefault="009220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6785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CEF620E"/>
    <w:multiLevelType w:val="hybridMultilevel"/>
    <w:tmpl w:val="1824A616"/>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DE840E6"/>
    <w:multiLevelType w:val="hybridMultilevel"/>
    <w:tmpl w:val="DC788026"/>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176D51"/>
    <w:multiLevelType w:val="hybridMultilevel"/>
    <w:tmpl w:val="0FFA6A72"/>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F204DC0"/>
    <w:multiLevelType w:val="hybridMultilevel"/>
    <w:tmpl w:val="752472CA"/>
    <w:lvl w:ilvl="0" w:tplc="CF0E0A6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35647128"/>
    <w:multiLevelType w:val="multilevel"/>
    <w:tmpl w:val="9104B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62A3554"/>
    <w:multiLevelType w:val="hybridMultilevel"/>
    <w:tmpl w:val="15BE9D26"/>
    <w:lvl w:ilvl="0" w:tplc="0D246732">
      <w:start w:val="1"/>
      <w:numFmt w:val="bullet"/>
      <w:lvlText w:val=""/>
      <w:lvlJc w:val="left"/>
      <w:pPr>
        <w:tabs>
          <w:tab w:val="num" w:pos="720"/>
        </w:tabs>
        <w:ind w:left="72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6752800"/>
    <w:multiLevelType w:val="hybridMultilevel"/>
    <w:tmpl w:val="622A7E20"/>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57BF00FA"/>
    <w:multiLevelType w:val="hybridMultilevel"/>
    <w:tmpl w:val="3F46CA4A"/>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6540097"/>
    <w:multiLevelType w:val="multilevel"/>
    <w:tmpl w:val="4E92AA8C"/>
    <w:lvl w:ilvl="0">
      <w:start w:val="1"/>
      <w:numFmt w:val="decimal"/>
      <w:lvlText w:val="%1"/>
      <w:lvlJc w:val="left"/>
      <w:pPr>
        <w:tabs>
          <w:tab w:val="num" w:pos="851"/>
        </w:tabs>
        <w:ind w:left="851" w:hanging="851"/>
      </w:pPr>
      <w:rPr>
        <w:rFonts w:ascii="Arial Bold" w:hAnsi="Arial Bold" w:cs="Times New Roman" w:hint="default"/>
        <w:b/>
        <w:i w:val="0"/>
        <w:sz w:val="32"/>
        <w:szCs w:val="32"/>
      </w:rPr>
    </w:lvl>
    <w:lvl w:ilvl="1">
      <w:start w:val="1"/>
      <w:numFmt w:val="decimal"/>
      <w:lvlText w:val="%1.%2"/>
      <w:lvlJc w:val="left"/>
      <w:pPr>
        <w:tabs>
          <w:tab w:val="num" w:pos="851"/>
        </w:tabs>
        <w:ind w:left="851" w:hanging="851"/>
      </w:pPr>
      <w:rPr>
        <w:rFonts w:ascii="Arial" w:hAnsi="Arial" w:cs="Times New Roman" w:hint="default"/>
        <w:b w:val="0"/>
        <w:i w:val="0"/>
        <w:sz w:val="24"/>
        <w:szCs w:val="24"/>
      </w:rPr>
    </w:lvl>
    <w:lvl w:ilvl="2">
      <w:start w:val="1"/>
      <w:numFmt w:val="decimal"/>
      <w:lvlText w:val="%1.%2.%3"/>
      <w:lvlJc w:val="left"/>
      <w:pPr>
        <w:tabs>
          <w:tab w:val="num" w:pos="1701"/>
        </w:tabs>
        <w:ind w:left="1701" w:hanging="850"/>
      </w:pPr>
      <w:rPr>
        <w:rFonts w:ascii="Arial" w:hAnsi="Arial" w:cs="Times New Roman" w:hint="default"/>
        <w:b w:val="0"/>
        <w:i w:val="0"/>
        <w:sz w:val="24"/>
        <w:szCs w:val="24"/>
      </w:rPr>
    </w:lvl>
    <w:lvl w:ilvl="3">
      <w:start w:val="1"/>
      <w:numFmt w:val="bullet"/>
      <w:lvlText w:val=""/>
      <w:lvlJc w:val="left"/>
      <w:pPr>
        <w:tabs>
          <w:tab w:val="num" w:pos="2268"/>
        </w:tabs>
        <w:ind w:left="2268" w:hanging="567"/>
      </w:pPr>
      <w:rPr>
        <w:rFonts w:ascii="Symbol" w:hAnsi="Symbol" w:hint="default"/>
      </w:rPr>
    </w:lvl>
    <w:lvl w:ilvl="4">
      <w:start w:val="1"/>
      <w:numFmt w:val="decimal"/>
      <w:lvlText w:val="(%4)%5."/>
      <w:lvlJc w:val="left"/>
      <w:pPr>
        <w:tabs>
          <w:tab w:val="num" w:pos="0"/>
        </w:tabs>
      </w:pPr>
      <w:rPr>
        <w:rFonts w:cs="Times New Roman" w:hint="default"/>
      </w:rPr>
    </w:lvl>
    <w:lvl w:ilvl="5">
      <w:start w:val="1"/>
      <w:numFmt w:val="decimal"/>
      <w:lvlText w:val="(%4)%5.%6."/>
      <w:lvlJc w:val="left"/>
      <w:pPr>
        <w:tabs>
          <w:tab w:val="num" w:pos="0"/>
        </w:tabs>
      </w:pPr>
      <w:rPr>
        <w:rFonts w:cs="Times New Roman" w:hint="default"/>
      </w:rPr>
    </w:lvl>
    <w:lvl w:ilvl="6">
      <w:start w:val="1"/>
      <w:numFmt w:val="decimal"/>
      <w:lvlText w:val="(%4)%5.%6.%7."/>
      <w:lvlJc w:val="left"/>
      <w:pPr>
        <w:tabs>
          <w:tab w:val="num" w:pos="0"/>
        </w:tabs>
      </w:pPr>
      <w:rPr>
        <w:rFonts w:cs="Times New Roman" w:hint="default"/>
      </w:rPr>
    </w:lvl>
    <w:lvl w:ilvl="7">
      <w:start w:val="1"/>
      <w:numFmt w:val="decimal"/>
      <w:lvlText w:val="(%4)%5.%6.%7.%8."/>
      <w:lvlJc w:val="left"/>
      <w:pPr>
        <w:tabs>
          <w:tab w:val="num" w:pos="0"/>
        </w:tabs>
      </w:pPr>
      <w:rPr>
        <w:rFonts w:cs="Times New Roman" w:hint="default"/>
      </w:rPr>
    </w:lvl>
    <w:lvl w:ilvl="8">
      <w:start w:val="1"/>
      <w:numFmt w:val="decimal"/>
      <w:lvlText w:val="(%4)%5.%6.%7.%8.%9."/>
      <w:lvlJc w:val="left"/>
      <w:pPr>
        <w:tabs>
          <w:tab w:val="num" w:pos="0"/>
        </w:tabs>
      </w:pPr>
      <w:rPr>
        <w:rFonts w:cs="Times New Roman" w:hint="default"/>
      </w:rPr>
    </w:lvl>
  </w:abstractNum>
  <w:abstractNum w:abstractNumId="10">
    <w:nsid w:val="75D52BD2"/>
    <w:multiLevelType w:val="hybridMultilevel"/>
    <w:tmpl w:val="B00E98FA"/>
    <w:lvl w:ilvl="0" w:tplc="0D24673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7AC498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1"/>
  </w:num>
  <w:num w:numId="3">
    <w:abstractNumId w:val="4"/>
  </w:num>
  <w:num w:numId="4">
    <w:abstractNumId w:val="7"/>
  </w:num>
  <w:num w:numId="5">
    <w:abstractNumId w:val="2"/>
  </w:num>
  <w:num w:numId="6">
    <w:abstractNumId w:val="8"/>
  </w:num>
  <w:num w:numId="7">
    <w:abstractNumId w:val="10"/>
  </w:num>
  <w:num w:numId="8">
    <w:abstractNumId w:val="1"/>
  </w:num>
  <w:num w:numId="9">
    <w:abstractNumId w:val="6"/>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0F"/>
    <w:rsid w:val="000439B3"/>
    <w:rsid w:val="0006173B"/>
    <w:rsid w:val="000A3654"/>
    <w:rsid w:val="000F0414"/>
    <w:rsid w:val="00116D8C"/>
    <w:rsid w:val="001444B9"/>
    <w:rsid w:val="00156E4C"/>
    <w:rsid w:val="001F527F"/>
    <w:rsid w:val="001F616A"/>
    <w:rsid w:val="0021120F"/>
    <w:rsid w:val="00263C23"/>
    <w:rsid w:val="00273C07"/>
    <w:rsid w:val="00281507"/>
    <w:rsid w:val="002B0996"/>
    <w:rsid w:val="002B3793"/>
    <w:rsid w:val="00337BA7"/>
    <w:rsid w:val="00340815"/>
    <w:rsid w:val="00347DC7"/>
    <w:rsid w:val="003507E4"/>
    <w:rsid w:val="00357A93"/>
    <w:rsid w:val="00387071"/>
    <w:rsid w:val="003E7C2F"/>
    <w:rsid w:val="00401739"/>
    <w:rsid w:val="00445043"/>
    <w:rsid w:val="00455FAE"/>
    <w:rsid w:val="004748E5"/>
    <w:rsid w:val="004824B4"/>
    <w:rsid w:val="004A254B"/>
    <w:rsid w:val="004B4173"/>
    <w:rsid w:val="004D4B50"/>
    <w:rsid w:val="004E54F7"/>
    <w:rsid w:val="00515D28"/>
    <w:rsid w:val="00521E17"/>
    <w:rsid w:val="00570EBE"/>
    <w:rsid w:val="00577437"/>
    <w:rsid w:val="005F1F84"/>
    <w:rsid w:val="005F5A79"/>
    <w:rsid w:val="00601C5D"/>
    <w:rsid w:val="00682A64"/>
    <w:rsid w:val="006D3E3D"/>
    <w:rsid w:val="006F4F53"/>
    <w:rsid w:val="007152E3"/>
    <w:rsid w:val="007859C4"/>
    <w:rsid w:val="00791139"/>
    <w:rsid w:val="007F345B"/>
    <w:rsid w:val="00845F91"/>
    <w:rsid w:val="008817D2"/>
    <w:rsid w:val="009220A0"/>
    <w:rsid w:val="00936BB4"/>
    <w:rsid w:val="00937FE7"/>
    <w:rsid w:val="00966F16"/>
    <w:rsid w:val="00986EDA"/>
    <w:rsid w:val="00992C8F"/>
    <w:rsid w:val="00994487"/>
    <w:rsid w:val="00995B51"/>
    <w:rsid w:val="009B15EB"/>
    <w:rsid w:val="00A06895"/>
    <w:rsid w:val="00A23FEC"/>
    <w:rsid w:val="00A26682"/>
    <w:rsid w:val="00A44B80"/>
    <w:rsid w:val="00A45BE7"/>
    <w:rsid w:val="00A6018C"/>
    <w:rsid w:val="00A66782"/>
    <w:rsid w:val="00AB4997"/>
    <w:rsid w:val="00B26BE6"/>
    <w:rsid w:val="00B75AA3"/>
    <w:rsid w:val="00B777D7"/>
    <w:rsid w:val="00BD4BA5"/>
    <w:rsid w:val="00BE3342"/>
    <w:rsid w:val="00C60B68"/>
    <w:rsid w:val="00CB2725"/>
    <w:rsid w:val="00CE6CD9"/>
    <w:rsid w:val="00D0410A"/>
    <w:rsid w:val="00D512AC"/>
    <w:rsid w:val="00DB6B94"/>
    <w:rsid w:val="00DC6CFC"/>
    <w:rsid w:val="00E516CE"/>
    <w:rsid w:val="00E73D00"/>
    <w:rsid w:val="00EB3081"/>
    <w:rsid w:val="00EC0663"/>
    <w:rsid w:val="00EC6BAF"/>
    <w:rsid w:val="00EC6FF8"/>
    <w:rsid w:val="00EC7098"/>
    <w:rsid w:val="00EF009E"/>
    <w:rsid w:val="00EF2901"/>
    <w:rsid w:val="00EF406C"/>
    <w:rsid w:val="00EF477D"/>
    <w:rsid w:val="00EF624E"/>
    <w:rsid w:val="00F03A33"/>
    <w:rsid w:val="00FC5313"/>
    <w:rsid w:val="00FC6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5CA22BE-FAC2-4760-8F66-5F70A6E5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16A"/>
    <w:rPr>
      <w:rFonts w:ascii="Arial" w:hAnsi="Arial"/>
      <w:sz w:val="24"/>
    </w:rPr>
  </w:style>
  <w:style w:type="paragraph" w:styleId="Heading1">
    <w:name w:val="heading 1"/>
    <w:basedOn w:val="Normal"/>
    <w:next w:val="Normal"/>
    <w:qFormat/>
    <w:rsid w:val="001F616A"/>
    <w:pPr>
      <w:keepNext/>
      <w:outlineLvl w:val="0"/>
    </w:pPr>
    <w:rPr>
      <w:b/>
    </w:rPr>
  </w:style>
  <w:style w:type="paragraph" w:styleId="Heading2">
    <w:name w:val="heading 2"/>
    <w:basedOn w:val="Normal"/>
    <w:next w:val="Normal"/>
    <w:qFormat/>
    <w:rsid w:val="001F616A"/>
    <w:pPr>
      <w:keepNext/>
      <w:spacing w:before="240" w:after="60"/>
      <w:outlineLvl w:val="1"/>
    </w:pPr>
    <w:rPr>
      <w:rFonts w:cs="Arial"/>
      <w:b/>
      <w:bCs/>
      <w:i/>
      <w:iCs/>
      <w:sz w:val="28"/>
      <w:szCs w:val="28"/>
    </w:rPr>
  </w:style>
  <w:style w:type="paragraph" w:styleId="Heading3">
    <w:name w:val="heading 3"/>
    <w:basedOn w:val="Normal"/>
    <w:next w:val="Normal"/>
    <w:qFormat/>
    <w:rsid w:val="001F616A"/>
    <w:pPr>
      <w:keepNext/>
      <w:spacing w:before="240" w:after="60"/>
      <w:outlineLvl w:val="2"/>
    </w:pPr>
    <w:rPr>
      <w:rFonts w:cs="Arial"/>
      <w:b/>
      <w:bCs/>
      <w:sz w:val="26"/>
      <w:szCs w:val="26"/>
    </w:rPr>
  </w:style>
  <w:style w:type="paragraph" w:styleId="Heading5">
    <w:name w:val="heading 5"/>
    <w:basedOn w:val="Normal"/>
    <w:next w:val="Normal"/>
    <w:qFormat/>
    <w:rsid w:val="001F616A"/>
    <w:pPr>
      <w:keepNext/>
      <w:outlineLvl w:val="4"/>
    </w:pPr>
    <w:rPr>
      <w:rFonts w:ascii="Univers" w:hAnsi="Univers"/>
      <w:b/>
      <w:u w:val="single"/>
    </w:rPr>
  </w:style>
  <w:style w:type="paragraph" w:styleId="Heading6">
    <w:name w:val="heading 6"/>
    <w:basedOn w:val="Normal"/>
    <w:next w:val="Normal"/>
    <w:qFormat/>
    <w:rsid w:val="001F616A"/>
    <w:pPr>
      <w:keepNext/>
      <w:outlineLvl w:val="5"/>
    </w:pPr>
    <w:rPr>
      <w:rFonts w:ascii="Univers" w:hAnsi="Univers"/>
      <w:b/>
    </w:rPr>
  </w:style>
  <w:style w:type="paragraph" w:styleId="Heading7">
    <w:name w:val="heading 7"/>
    <w:basedOn w:val="Normal"/>
    <w:next w:val="Normal"/>
    <w:qFormat/>
    <w:rsid w:val="001F616A"/>
    <w:pPr>
      <w:keepNext/>
      <w:outlineLvl w:val="6"/>
    </w:pPr>
    <w:rPr>
      <w:rFonts w:ascii="Univers" w:hAnsi="Univer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16A"/>
  </w:style>
  <w:style w:type="paragraph" w:customStyle="1" w:styleId="arial11">
    <w:name w:val="arial11"/>
    <w:basedOn w:val="Normal"/>
    <w:rsid w:val="001F616A"/>
  </w:style>
  <w:style w:type="paragraph" w:styleId="BodyText">
    <w:name w:val="Body Text"/>
    <w:basedOn w:val="Normal"/>
    <w:rsid w:val="001F616A"/>
  </w:style>
  <w:style w:type="paragraph" w:styleId="Footer">
    <w:name w:val="footer"/>
    <w:basedOn w:val="Normal"/>
    <w:rsid w:val="001F616A"/>
    <w:pPr>
      <w:tabs>
        <w:tab w:val="center" w:pos="4153"/>
        <w:tab w:val="right" w:pos="8306"/>
      </w:tabs>
    </w:pPr>
  </w:style>
  <w:style w:type="character" w:styleId="PageNumber">
    <w:name w:val="page number"/>
    <w:basedOn w:val="DefaultParagraphFont"/>
    <w:rsid w:val="001F616A"/>
  </w:style>
  <w:style w:type="table" w:styleId="TableGrid">
    <w:name w:val="Table Grid"/>
    <w:basedOn w:val="TableNormal"/>
    <w:rsid w:val="001F61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1F616A"/>
    <w:rPr>
      <w:rFonts w:ascii="Tahoma" w:hAnsi="Tahoma" w:cs="Tahoma"/>
      <w:sz w:val="16"/>
      <w:szCs w:val="16"/>
    </w:rPr>
  </w:style>
  <w:style w:type="character" w:styleId="FollowedHyperlink">
    <w:name w:val="FollowedHyperlink"/>
    <w:basedOn w:val="DefaultParagraphFont"/>
    <w:rsid w:val="001F616A"/>
    <w:rPr>
      <w:color w:val="800080"/>
      <w:u w:val="single"/>
    </w:rPr>
  </w:style>
  <w:style w:type="character" w:styleId="Hyperlink">
    <w:name w:val="Hyperlink"/>
    <w:basedOn w:val="DefaultParagraphFont"/>
    <w:uiPriority w:val="99"/>
    <w:semiHidden/>
    <w:unhideWhenUsed/>
    <w:rsid w:val="00EF2901"/>
    <w:rPr>
      <w:color w:val="0563C1"/>
      <w:u w:val="single"/>
    </w:rPr>
  </w:style>
  <w:style w:type="paragraph" w:customStyle="1" w:styleId="Default">
    <w:name w:val="Default"/>
    <w:rsid w:val="00EF2901"/>
    <w:pPr>
      <w:autoSpaceDE w:val="0"/>
      <w:autoSpaceDN w:val="0"/>
      <w:adjustRightInd w:val="0"/>
    </w:pPr>
    <w:rPr>
      <w:rFonts w:ascii="Corbel" w:eastAsiaTheme="minorHAnsi" w:hAnsi="Corbel" w:cs="Corbe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879887">
      <w:bodyDiv w:val="1"/>
      <w:marLeft w:val="0"/>
      <w:marRight w:val="0"/>
      <w:marTop w:val="0"/>
      <w:marBottom w:val="0"/>
      <w:divBdr>
        <w:top w:val="none" w:sz="0" w:space="0" w:color="auto"/>
        <w:left w:val="none" w:sz="0" w:space="0" w:color="auto"/>
        <w:bottom w:val="none" w:sz="0" w:space="0" w:color="auto"/>
        <w:right w:val="none" w:sz="0" w:space="0" w:color="auto"/>
      </w:divBdr>
    </w:div>
    <w:div w:id="1024941855">
      <w:bodyDiv w:val="1"/>
      <w:marLeft w:val="0"/>
      <w:marRight w:val="0"/>
      <w:marTop w:val="0"/>
      <w:marBottom w:val="0"/>
      <w:divBdr>
        <w:top w:val="none" w:sz="0" w:space="0" w:color="auto"/>
        <w:left w:val="none" w:sz="0" w:space="0" w:color="auto"/>
        <w:bottom w:val="none" w:sz="0" w:space="0" w:color="auto"/>
        <w:right w:val="none" w:sz="0" w:space="0" w:color="auto"/>
      </w:divBdr>
    </w:div>
    <w:div w:id="14870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ipfa.org/services/networks/better-governance-forum/counter-fraud-documentation/code-of-practice-on-managing-the-risk-of-fraud-and-corruptio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hris\Toolkit%20templates\Annex%206b%20-%20Committee%20Report%20(Excluding%20Regulation%20%20Development%20Contr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Annex 6b - Committee Report (Excluding Regulation  Development Control).dot</Template>
  <TotalTime>4</TotalTime>
  <Pages>2</Pages>
  <Words>588</Words>
  <Characters>3470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Audit Committee</vt:lpstr>
    </vt:vector>
  </TitlesOfParts>
  <Company> </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Audit Committee</dc:title>
  <dc:subject/>
  <dc:creator>rdmcm</dc:creator>
  <cp:keywords/>
  <dc:description>8 December 2003</dc:description>
  <cp:lastModifiedBy>Harbison, Garth</cp:lastModifiedBy>
  <cp:revision>4</cp:revision>
  <cp:lastPrinted>2015-01-14T12:01:00Z</cp:lastPrinted>
  <dcterms:created xsi:type="dcterms:W3CDTF">2015-01-12T09:17:00Z</dcterms:created>
  <dcterms:modified xsi:type="dcterms:W3CDTF">2015-01-14T12:03:00Z</dcterms:modified>
</cp:coreProperties>
</file>